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C435" w14:textId="77777777" w:rsidR="004A05DD" w:rsidRDefault="004A05DD" w:rsidP="004A05DD">
      <w:pPr>
        <w:jc w:val="center"/>
        <w:outlineLvl w:val="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843"/>
      </w:tblGrid>
      <w:tr w:rsidR="004A05DD" w14:paraId="32CEBFAD" w14:textId="77777777" w:rsidTr="00C810D1">
        <w:trPr>
          <w:gridAfter w:val="1"/>
          <w:wAfter w:w="5850" w:type="dxa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05E5C4" w14:textId="77777777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</w:p>
          <w:p w14:paraId="0A4C791B" w14:textId="3291DF5E" w:rsidR="004A05DD" w:rsidRDefault="004A05DD" w:rsidP="004A05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Lab-1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>1</w:t>
            </w:r>
          </w:p>
        </w:tc>
      </w:tr>
      <w:tr w:rsidR="004A05DD" w14:paraId="4A8A67D9" w14:textId="77777777" w:rsidTr="00C810D1"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 w14:paraId="409C1289" w14:textId="238D4161" w:rsidR="004A05DD" w:rsidRPr="00B73812" w:rsidRDefault="004A05DD" w:rsidP="004A05D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4"/>
                <w:szCs w:val="144"/>
              </w:rPr>
              <w:t>1</w:t>
            </w:r>
            <w:r>
              <w:rPr>
                <w:rFonts w:ascii="Calibri" w:eastAsia="Calibri" w:hAnsi="Calibri" w:cs="Calibri"/>
                <w:i/>
                <w:color w:val="000000"/>
                <w:sz w:val="144"/>
                <w:szCs w:val="144"/>
              </w:rPr>
              <w:t>1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000000"/>
            <w:tcMar>
              <w:left w:w="108" w:type="dxa"/>
              <w:right w:w="108" w:type="dxa"/>
            </w:tcMar>
            <w:vAlign w:val="center"/>
          </w:tcPr>
          <w:p w14:paraId="3E7FDE92" w14:textId="38114312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>USRP B210 with MatLab</w:t>
            </w:r>
          </w:p>
        </w:tc>
      </w:tr>
      <w:tr w:rsidR="004A05DD" w14:paraId="7EBD0AD9" w14:textId="77777777" w:rsidTr="00C810D1">
        <w:tc>
          <w:tcPr>
            <w:tcW w:w="3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3ABEBD62" w14:textId="77777777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74325E" w14:textId="77777777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Advanced Wireless Lab</w:t>
            </w:r>
          </w:p>
        </w:tc>
      </w:tr>
      <w:tr w:rsidR="004A05DD" w14:paraId="45B12F9B" w14:textId="77777777" w:rsidTr="00C810D1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562AB5" w14:textId="77777777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TLEN 5830-AWL</w:t>
            </w:r>
          </w:p>
        </w:tc>
      </w:tr>
      <w:tr w:rsidR="004A05DD" w14:paraId="696160B6" w14:textId="77777777" w:rsidTr="00C810D1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7C1C95" w14:textId="77777777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7C80520" w14:textId="77777777" w:rsidR="004A05DD" w:rsidRDefault="004A05DD" w:rsidP="004A05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7982C1" w14:textId="77777777" w:rsidR="004A05DD" w:rsidRDefault="004A05DD" w:rsidP="004A05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7F57E3" w14:textId="11A43D59" w:rsidR="00BD0E25" w:rsidRDefault="00643303" w:rsidP="00643303">
      <w:pPr>
        <w:rPr>
          <w:sz w:val="24"/>
          <w:szCs w:val="24"/>
        </w:rPr>
      </w:pPr>
      <w:r w:rsidRPr="004A05DD">
        <w:rPr>
          <w:sz w:val="24"/>
          <w:szCs w:val="24"/>
        </w:rPr>
        <w:t xml:space="preserve">This exercise </w:t>
      </w:r>
      <w:r w:rsidR="00194DD5" w:rsidRPr="004A05DD">
        <w:rPr>
          <w:sz w:val="24"/>
          <w:szCs w:val="24"/>
        </w:rPr>
        <w:t>implemen</w:t>
      </w:r>
      <w:r w:rsidR="00465A56" w:rsidRPr="004A05DD">
        <w:rPr>
          <w:sz w:val="24"/>
          <w:szCs w:val="24"/>
        </w:rPr>
        <w:t xml:space="preserve">ts the integration of the B210 </w:t>
      </w:r>
      <w:r w:rsidR="00194DD5" w:rsidRPr="004A05DD">
        <w:rPr>
          <w:sz w:val="24"/>
          <w:szCs w:val="24"/>
        </w:rPr>
        <w:t xml:space="preserve">with the </w:t>
      </w:r>
      <w:r w:rsidR="00462F0E" w:rsidRPr="004A05DD">
        <w:rPr>
          <w:sz w:val="24"/>
          <w:szCs w:val="24"/>
        </w:rPr>
        <w:t xml:space="preserve">LTE system toolbox. </w:t>
      </w:r>
      <w:r w:rsidR="004A05DD">
        <w:rPr>
          <w:sz w:val="24"/>
          <w:szCs w:val="24"/>
        </w:rPr>
        <w:t xml:space="preserve"> </w:t>
      </w:r>
      <w:bookmarkStart w:id="0" w:name="_GoBack"/>
      <w:bookmarkEnd w:id="0"/>
      <w:r w:rsidR="00D533D4" w:rsidRPr="004A05DD">
        <w:rPr>
          <w:sz w:val="24"/>
          <w:szCs w:val="24"/>
        </w:rPr>
        <w:t>Make sure that Communication System Toolbox – USRP is installed.</w:t>
      </w:r>
    </w:p>
    <w:p w14:paraId="0946CF73" w14:textId="77777777" w:rsidR="004A05DD" w:rsidRPr="004A05DD" w:rsidRDefault="004A05DD" w:rsidP="00643303">
      <w:pPr>
        <w:rPr>
          <w:sz w:val="24"/>
          <w:szCs w:val="24"/>
        </w:rPr>
      </w:pPr>
    </w:p>
    <w:p w14:paraId="385B5DF5" w14:textId="77777777" w:rsidR="00F6190E" w:rsidRDefault="000D7B72" w:rsidP="00F61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5DD">
        <w:rPr>
          <w:sz w:val="24"/>
          <w:szCs w:val="24"/>
        </w:rPr>
        <w:t xml:space="preserve">Transmit the System Information Block 1 (SIB1) over the two antennas of the </w:t>
      </w:r>
      <w:r w:rsidR="00401B04" w:rsidRPr="004A05DD">
        <w:rPr>
          <w:sz w:val="24"/>
          <w:szCs w:val="24"/>
        </w:rPr>
        <w:t xml:space="preserve">first </w:t>
      </w:r>
      <w:r w:rsidRPr="004A05DD">
        <w:rPr>
          <w:sz w:val="24"/>
          <w:szCs w:val="24"/>
        </w:rPr>
        <w:t>B210</w:t>
      </w:r>
      <w:r w:rsidR="00401B04" w:rsidRPr="004A05DD">
        <w:rPr>
          <w:sz w:val="24"/>
          <w:szCs w:val="24"/>
        </w:rPr>
        <w:t xml:space="preserve"> SDR</w:t>
      </w:r>
      <w:r w:rsidRPr="004A05DD">
        <w:rPr>
          <w:sz w:val="24"/>
          <w:szCs w:val="24"/>
        </w:rPr>
        <w:t>.</w:t>
      </w:r>
    </w:p>
    <w:p w14:paraId="63EA96BB" w14:textId="77777777" w:rsidR="004A05DD" w:rsidRPr="004A05DD" w:rsidRDefault="004A05DD" w:rsidP="004A05DD">
      <w:pPr>
        <w:pStyle w:val="ListParagraph"/>
        <w:rPr>
          <w:sz w:val="24"/>
          <w:szCs w:val="24"/>
        </w:rPr>
      </w:pPr>
    </w:p>
    <w:p w14:paraId="24304637" w14:textId="77777777" w:rsidR="000D7B72" w:rsidRDefault="009B379D" w:rsidP="00F61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5DD">
        <w:rPr>
          <w:sz w:val="24"/>
          <w:szCs w:val="24"/>
        </w:rPr>
        <w:t xml:space="preserve">Implement </w:t>
      </w:r>
      <w:r w:rsidR="00A66C57" w:rsidRPr="004A05DD">
        <w:rPr>
          <w:sz w:val="24"/>
          <w:szCs w:val="24"/>
        </w:rPr>
        <w:t>the Reference measurement Chann</w:t>
      </w:r>
      <w:r w:rsidR="00465A56" w:rsidRPr="004A05DD">
        <w:rPr>
          <w:sz w:val="24"/>
          <w:szCs w:val="24"/>
        </w:rPr>
        <w:t xml:space="preserve">el </w:t>
      </w:r>
      <w:r w:rsidRPr="004A05DD">
        <w:rPr>
          <w:sz w:val="24"/>
          <w:szCs w:val="24"/>
        </w:rPr>
        <w:t>13(R.13)</w:t>
      </w:r>
      <w:r w:rsidR="00E95EA5" w:rsidRPr="004A05DD">
        <w:rPr>
          <w:sz w:val="24"/>
          <w:szCs w:val="24"/>
        </w:rPr>
        <w:t xml:space="preserve"> as part of eNodeB structure.</w:t>
      </w:r>
    </w:p>
    <w:p w14:paraId="39A57394" w14:textId="77777777" w:rsidR="004A05DD" w:rsidRPr="004A05DD" w:rsidRDefault="004A05DD" w:rsidP="004A05DD">
      <w:pPr>
        <w:pStyle w:val="ListParagraph"/>
        <w:rPr>
          <w:sz w:val="24"/>
          <w:szCs w:val="24"/>
        </w:rPr>
      </w:pPr>
    </w:p>
    <w:p w14:paraId="6B026706" w14:textId="77777777" w:rsidR="00E95EA5" w:rsidRDefault="007E7F8E" w:rsidP="00F61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5DD">
        <w:rPr>
          <w:sz w:val="24"/>
          <w:szCs w:val="24"/>
        </w:rPr>
        <w:t>I</w:t>
      </w:r>
      <w:r w:rsidR="00DD0B90" w:rsidRPr="004A05DD">
        <w:rPr>
          <w:sz w:val="24"/>
          <w:szCs w:val="24"/>
        </w:rPr>
        <w:t xml:space="preserve">mplement the </w:t>
      </w:r>
      <w:r w:rsidR="00166541" w:rsidRPr="004A05DD">
        <w:rPr>
          <w:sz w:val="24"/>
          <w:szCs w:val="24"/>
        </w:rPr>
        <w:t>recovery of the SIB1</w:t>
      </w:r>
      <w:r w:rsidR="00A7633D" w:rsidRPr="004A05DD">
        <w:rPr>
          <w:sz w:val="24"/>
          <w:szCs w:val="24"/>
        </w:rPr>
        <w:t xml:space="preserve"> </w:t>
      </w:r>
      <w:r w:rsidR="00401B04" w:rsidRPr="004A05DD">
        <w:rPr>
          <w:sz w:val="24"/>
          <w:szCs w:val="24"/>
        </w:rPr>
        <w:t xml:space="preserve">on </w:t>
      </w:r>
      <w:r w:rsidR="00D96342" w:rsidRPr="004A05DD">
        <w:rPr>
          <w:sz w:val="24"/>
          <w:szCs w:val="24"/>
        </w:rPr>
        <w:t xml:space="preserve">the second </w:t>
      </w:r>
      <w:r w:rsidR="00E561AA" w:rsidRPr="004A05DD">
        <w:rPr>
          <w:sz w:val="24"/>
          <w:szCs w:val="24"/>
        </w:rPr>
        <w:t>B210 SDR.</w:t>
      </w:r>
      <w:r w:rsidR="000F245E" w:rsidRPr="004A05DD">
        <w:rPr>
          <w:sz w:val="24"/>
          <w:szCs w:val="24"/>
        </w:rPr>
        <w:t xml:space="preserve"> Mention the steps </w:t>
      </w:r>
      <w:r w:rsidR="00DC20F0" w:rsidRPr="004A05DD">
        <w:rPr>
          <w:sz w:val="24"/>
          <w:szCs w:val="24"/>
        </w:rPr>
        <w:t>involves in the process.</w:t>
      </w:r>
    </w:p>
    <w:p w14:paraId="1B4FC0F8" w14:textId="77777777" w:rsidR="004A05DD" w:rsidRPr="004A05DD" w:rsidRDefault="004A05DD" w:rsidP="004A05DD">
      <w:pPr>
        <w:pStyle w:val="ListParagraph"/>
        <w:rPr>
          <w:sz w:val="24"/>
          <w:szCs w:val="24"/>
        </w:rPr>
      </w:pPr>
    </w:p>
    <w:p w14:paraId="5637301D" w14:textId="77777777" w:rsidR="007275A6" w:rsidRPr="004A05DD" w:rsidRDefault="007275A6" w:rsidP="00F61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5DD">
        <w:rPr>
          <w:sz w:val="24"/>
          <w:szCs w:val="24"/>
        </w:rPr>
        <w:t xml:space="preserve">Include the </w:t>
      </w:r>
      <w:r w:rsidR="007711A6" w:rsidRPr="004A05DD">
        <w:rPr>
          <w:sz w:val="24"/>
          <w:szCs w:val="24"/>
        </w:rPr>
        <w:t xml:space="preserve">related screenshots and </w:t>
      </w:r>
      <w:r w:rsidR="00386086" w:rsidRPr="004A05DD">
        <w:rPr>
          <w:sz w:val="24"/>
          <w:szCs w:val="24"/>
        </w:rPr>
        <w:t xml:space="preserve">the </w:t>
      </w:r>
      <w:r w:rsidR="007711A6" w:rsidRPr="004A05DD">
        <w:rPr>
          <w:sz w:val="24"/>
          <w:szCs w:val="24"/>
        </w:rPr>
        <w:t>math file.</w:t>
      </w:r>
    </w:p>
    <w:p w14:paraId="0A330F9C" w14:textId="77777777" w:rsidR="004A05DD" w:rsidRDefault="004A05DD" w:rsidP="00DC7C8E">
      <w:pPr>
        <w:rPr>
          <w:sz w:val="24"/>
          <w:szCs w:val="24"/>
        </w:rPr>
      </w:pPr>
    </w:p>
    <w:p w14:paraId="1E3DA7C5" w14:textId="7B233B3B" w:rsidR="00454090" w:rsidRPr="004A05DD" w:rsidRDefault="004A05DD" w:rsidP="00DC7C8E">
      <w:pPr>
        <w:rPr>
          <w:sz w:val="24"/>
          <w:szCs w:val="24"/>
        </w:rPr>
      </w:pPr>
      <w:r>
        <w:rPr>
          <w:sz w:val="24"/>
          <w:szCs w:val="24"/>
        </w:rPr>
        <w:t xml:space="preserve">NOTE - </w:t>
      </w:r>
      <w:r w:rsidR="00454090" w:rsidRPr="004A05DD">
        <w:rPr>
          <w:sz w:val="24"/>
          <w:szCs w:val="24"/>
        </w:rPr>
        <w:t xml:space="preserve"> </w:t>
      </w:r>
      <w:r w:rsidR="00A23B84" w:rsidRPr="004A05DD">
        <w:rPr>
          <w:sz w:val="24"/>
          <w:szCs w:val="24"/>
        </w:rPr>
        <w:t xml:space="preserve">Both the codes need to be run simultaneously on two separate </w:t>
      </w:r>
      <w:r w:rsidR="00F571BD" w:rsidRPr="004A05DD">
        <w:rPr>
          <w:sz w:val="24"/>
          <w:szCs w:val="24"/>
        </w:rPr>
        <w:t xml:space="preserve">PCs. </w:t>
      </w:r>
      <w:r>
        <w:rPr>
          <w:sz w:val="24"/>
          <w:szCs w:val="24"/>
        </w:rPr>
        <w:t xml:space="preserve"> </w:t>
      </w:r>
      <w:r w:rsidR="00F571BD" w:rsidRPr="004A05DD">
        <w:rPr>
          <w:sz w:val="24"/>
          <w:szCs w:val="24"/>
        </w:rPr>
        <w:t>Additional details regarding the transmission and recovery objectives can be found in</w:t>
      </w:r>
      <w:r w:rsidR="00DC7C8E" w:rsidRPr="004A05DD">
        <w:rPr>
          <w:sz w:val="24"/>
          <w:szCs w:val="24"/>
        </w:rPr>
        <w:t xml:space="preserve"> the ‘Communications System Toolbox Support Package for USRP® Radio Examples’</w:t>
      </w:r>
      <w:r>
        <w:rPr>
          <w:sz w:val="24"/>
          <w:szCs w:val="24"/>
        </w:rPr>
        <w:t xml:space="preserve"> section in MathW</w:t>
      </w:r>
      <w:r w:rsidR="00646F4F" w:rsidRPr="004A05DD">
        <w:rPr>
          <w:sz w:val="24"/>
          <w:szCs w:val="24"/>
        </w:rPr>
        <w:t>orks website.</w:t>
      </w:r>
    </w:p>
    <w:sectPr w:rsidR="00454090" w:rsidRPr="004A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581D"/>
    <w:multiLevelType w:val="hybridMultilevel"/>
    <w:tmpl w:val="0B24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4E5"/>
    <w:multiLevelType w:val="hybridMultilevel"/>
    <w:tmpl w:val="081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sTAwsbA0NTe3sLRQ0lEKTi0uzszPAykwrgUAZSLZXywAAAA="/>
  </w:docVars>
  <w:rsids>
    <w:rsidRoot w:val="002669C4"/>
    <w:rsid w:val="00036898"/>
    <w:rsid w:val="000D7B72"/>
    <w:rsid w:val="000F245E"/>
    <w:rsid w:val="00166541"/>
    <w:rsid w:val="00194DD5"/>
    <w:rsid w:val="002669C4"/>
    <w:rsid w:val="002E2C89"/>
    <w:rsid w:val="00386086"/>
    <w:rsid w:val="003A5B20"/>
    <w:rsid w:val="00401B04"/>
    <w:rsid w:val="00454090"/>
    <w:rsid w:val="00462F0E"/>
    <w:rsid w:val="00465A56"/>
    <w:rsid w:val="004A05DD"/>
    <w:rsid w:val="00634D33"/>
    <w:rsid w:val="00643303"/>
    <w:rsid w:val="00646F4F"/>
    <w:rsid w:val="007275A6"/>
    <w:rsid w:val="007711A6"/>
    <w:rsid w:val="007E7F8E"/>
    <w:rsid w:val="009B19A4"/>
    <w:rsid w:val="009B379D"/>
    <w:rsid w:val="00A23B84"/>
    <w:rsid w:val="00A66C57"/>
    <w:rsid w:val="00A7633D"/>
    <w:rsid w:val="00BD0E25"/>
    <w:rsid w:val="00C2357B"/>
    <w:rsid w:val="00D23C8F"/>
    <w:rsid w:val="00D533D4"/>
    <w:rsid w:val="00D77495"/>
    <w:rsid w:val="00D96342"/>
    <w:rsid w:val="00DB2A87"/>
    <w:rsid w:val="00DC20F0"/>
    <w:rsid w:val="00DC7C8E"/>
    <w:rsid w:val="00DD0B90"/>
    <w:rsid w:val="00E561AA"/>
    <w:rsid w:val="00E95EA5"/>
    <w:rsid w:val="00F0078C"/>
    <w:rsid w:val="00F077BE"/>
    <w:rsid w:val="00F571BD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F613"/>
  <w15:chartTrackingRefBased/>
  <w15:docId w15:val="{5BABCF84-7819-444A-BFC7-A4ED0EE5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Pavan naidu Pedda Venkatappagari</dc:creator>
  <cp:keywords/>
  <dc:description/>
  <cp:lastModifiedBy>Kevin K Gifford</cp:lastModifiedBy>
  <cp:revision>2</cp:revision>
  <dcterms:created xsi:type="dcterms:W3CDTF">2017-04-12T16:50:00Z</dcterms:created>
  <dcterms:modified xsi:type="dcterms:W3CDTF">2017-04-12T16:50:00Z</dcterms:modified>
</cp:coreProperties>
</file>